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hAnsi="黑体" w:eastAsia="黑体" w:cs="黑体"/>
          <w:b/>
          <w:spacing w:val="-17"/>
          <w:kern w:val="0"/>
          <w:sz w:val="28"/>
          <w:szCs w:val="28"/>
        </w:rPr>
      </w:pPr>
      <w:r>
        <w:rPr>
          <w:rFonts w:hint="eastAsia" w:ascii="黑体" w:hAnsi="黑体" w:eastAsia="黑体" w:cs="黑体"/>
          <w:b/>
          <w:spacing w:val="-17"/>
          <w:kern w:val="0"/>
          <w:sz w:val="28"/>
          <w:szCs w:val="28"/>
          <w:lang w:val="en-US" w:eastAsia="zh-CN"/>
        </w:rPr>
        <w:t>公告10：</w:t>
      </w:r>
    </w:p>
    <w:p>
      <w:pPr>
        <w:widowControl/>
        <w:jc w:val="center"/>
        <w:rPr>
          <w:rFonts w:hint="eastAsia" w:ascii="仿宋_GB2312" w:hAnsi="宋体" w:eastAsia="仿宋_GB2312" w:cs="宋体"/>
          <w:b/>
          <w:kern w:val="0"/>
          <w:sz w:val="32"/>
          <w:szCs w:val="32"/>
        </w:rPr>
      </w:pPr>
      <w:r>
        <w:rPr>
          <w:rFonts w:hint="eastAsia" w:ascii="方正小标宋简体" w:hAnsi="方正小标宋简体" w:eastAsia="方正小标宋简体" w:cs="方正小标宋简体"/>
          <w:b/>
          <w:spacing w:val="-17"/>
          <w:kern w:val="0"/>
          <w:sz w:val="44"/>
          <w:szCs w:val="44"/>
        </w:rPr>
        <w:t>河南能源“揭榜挂帅”科技项目榜单公告</w:t>
      </w:r>
    </w:p>
    <w:p>
      <w:pPr>
        <w:widowControl/>
        <w:jc w:val="center"/>
        <w:rPr>
          <w:rFonts w:hint="eastAsia" w:ascii="仿宋_GB2312" w:hAnsi="宋体" w:eastAsia="仿宋_GB2312" w:cs="宋体"/>
          <w:b/>
          <w:kern w:val="0"/>
          <w:sz w:val="32"/>
          <w:szCs w:val="32"/>
        </w:rPr>
      </w:pPr>
      <w:bookmarkStart w:id="0" w:name="_GoBack"/>
      <w:bookmarkEnd w:id="0"/>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一、榜单名称</w:t>
      </w:r>
    </w:p>
    <w:p>
      <w:pPr>
        <w:widowControl/>
        <w:ind w:firstLine="643" w:firstLineChars="200"/>
        <w:jc w:val="left"/>
        <w:rPr>
          <w:rFonts w:hint="eastAsia" w:ascii="仿宋" w:hAnsi="仿宋" w:eastAsia="仿宋" w:cs="仿宋"/>
          <w:b w:val="0"/>
          <w:bCs w:val="0"/>
          <w:kern w:val="0"/>
          <w:sz w:val="32"/>
          <w:szCs w:val="32"/>
        </w:rPr>
      </w:pPr>
      <w:r>
        <w:rPr>
          <w:rFonts w:hint="eastAsia" w:ascii="仿宋" w:hAnsi="仿宋" w:eastAsia="仿宋" w:cs="仿宋"/>
          <w:b/>
          <w:bCs/>
          <w:kern w:val="0"/>
          <w:sz w:val="32"/>
          <w:szCs w:val="32"/>
        </w:rPr>
        <w:t>项目名称：</w:t>
      </w:r>
      <w:r>
        <w:rPr>
          <w:rFonts w:hint="eastAsia" w:ascii="仿宋" w:hAnsi="仿宋" w:eastAsia="仿宋" w:cs="仿宋"/>
          <w:b w:val="0"/>
          <w:bCs w:val="0"/>
          <w:kern w:val="0"/>
          <w:sz w:val="32"/>
          <w:szCs w:val="32"/>
        </w:rPr>
        <w:t>运输系统智能化关键技术及装备研究与应用</w:t>
      </w:r>
    </w:p>
    <w:p>
      <w:pPr>
        <w:widowControl/>
        <w:ind w:firstLine="643" w:firstLineChars="200"/>
        <w:jc w:val="left"/>
        <w:rPr>
          <w:rFonts w:hint="eastAsia" w:ascii="仿宋" w:hAnsi="仿宋" w:eastAsia="仿宋" w:cs="仿宋"/>
          <w:kern w:val="0"/>
          <w:sz w:val="32"/>
          <w:szCs w:val="32"/>
        </w:rPr>
      </w:pPr>
      <w:r>
        <w:rPr>
          <w:rFonts w:hint="eastAsia" w:ascii="仿宋" w:hAnsi="仿宋" w:eastAsia="仿宋" w:cs="仿宋"/>
          <w:b/>
          <w:bCs/>
          <w:kern w:val="0"/>
          <w:sz w:val="32"/>
          <w:szCs w:val="32"/>
        </w:rPr>
        <w:t>注：</w:t>
      </w:r>
      <w:r>
        <w:rPr>
          <w:rFonts w:hint="eastAsia" w:ascii="仿宋" w:hAnsi="仿宋" w:eastAsia="仿宋" w:cs="仿宋"/>
          <w:kern w:val="0"/>
          <w:sz w:val="32"/>
          <w:szCs w:val="32"/>
          <w:lang w:val="en-US" w:eastAsia="zh-CN"/>
        </w:rPr>
        <w:t>《关于下达河南能源集团2024年科技研发项目计划的通知》（豫能办〔2024〕95号）、项目编号2024-23-4</w:t>
      </w:r>
      <w:r>
        <w:rPr>
          <w:rFonts w:hint="eastAsia" w:ascii="仿宋" w:hAnsi="仿宋" w:eastAsia="仿宋" w:cs="仿宋"/>
          <w:kern w:val="0"/>
          <w:sz w:val="32"/>
          <w:szCs w:val="32"/>
        </w:rPr>
        <w:t>。</w:t>
      </w: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rPr>
        <w:t>二、</w:t>
      </w:r>
      <w:r>
        <w:rPr>
          <w:rFonts w:hint="eastAsia" w:ascii="黑体" w:hAnsi="黑体" w:eastAsia="黑体" w:cs="黑体"/>
          <w:kern w:val="0"/>
          <w:sz w:val="32"/>
          <w:szCs w:val="32"/>
          <w:highlight w:val="none"/>
        </w:rPr>
        <w:t>需求目标</w:t>
      </w:r>
    </w:p>
    <w:p>
      <w:pPr>
        <w:widowControl/>
        <w:ind w:firstLine="640" w:firstLineChars="200"/>
        <w:jc w:val="left"/>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lang w:val="en-US" w:eastAsia="zh-CN"/>
        </w:rPr>
        <w:t>1.辅助运输系统中应用新型智能钢丝</w:t>
      </w:r>
      <w:r>
        <w:rPr>
          <w:rFonts w:hint="eastAsia" w:ascii="仿宋" w:hAnsi="仿宋" w:eastAsia="仿宋" w:cs="仿宋"/>
          <w:kern w:val="0"/>
          <w:sz w:val="32"/>
          <w:szCs w:val="32"/>
          <w:highlight w:val="none"/>
          <w:lang w:val="en-US" w:eastAsia="zh-CN"/>
        </w:rPr>
        <w:t>绳检测系统，</w:t>
      </w:r>
      <w:r>
        <w:rPr>
          <w:rFonts w:hint="eastAsia" w:ascii="仿宋" w:hAnsi="仿宋" w:eastAsia="仿宋" w:cs="仿宋"/>
          <w:color w:val="auto"/>
          <w:kern w:val="0"/>
          <w:sz w:val="32"/>
          <w:szCs w:val="32"/>
          <w:highlight w:val="none"/>
          <w:lang w:val="en-US" w:eastAsia="zh-CN"/>
        </w:rPr>
        <w:t>具备</w:t>
      </w:r>
      <w:r>
        <w:rPr>
          <w:rFonts w:hint="eastAsia" w:ascii="仿宋" w:hAnsi="仿宋" w:eastAsia="仿宋" w:cs="仿宋"/>
          <w:kern w:val="0"/>
          <w:sz w:val="32"/>
          <w:szCs w:val="32"/>
          <w:highlight w:val="none"/>
          <w:lang w:val="en-US" w:eastAsia="zh-CN"/>
        </w:rPr>
        <w:t>故障预警与诊断分析等功能。主煤流系统实现永磁直驱变频调速功能，实现煤量检测和自动调速功能。</w:t>
      </w:r>
    </w:p>
    <w:p>
      <w:pPr>
        <w:widowControl/>
        <w:ind w:firstLine="640" w:firstLineChars="200"/>
        <w:jc w:val="left"/>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val="en-US" w:eastAsia="zh-CN"/>
        </w:rPr>
        <w:t>2.开展各类自动化功能研究，包括：钢丝绳使用工况的展现和功能应用、精准维护功能的应用、故障管理功能的应用、设备管理功能的应用、主要设备自诊断功能的应用、远程诊断功能的研究与应用、视频监控软件的研究与应用。</w:t>
      </w:r>
    </w:p>
    <w:p>
      <w:pPr>
        <w:widowControl/>
        <w:ind w:firstLine="640" w:firstLineChars="200"/>
        <w:jc w:val="left"/>
        <w:rPr>
          <w:rFonts w:hint="eastAsia" w:ascii="黑体" w:hAnsi="黑体" w:eastAsia="黑体" w:cs="黑体"/>
          <w:kern w:val="0"/>
          <w:sz w:val="32"/>
          <w:szCs w:val="32"/>
          <w:highlight w:val="none"/>
        </w:rPr>
      </w:pPr>
      <w:r>
        <w:rPr>
          <w:rFonts w:hint="eastAsia" w:ascii="黑体" w:hAnsi="黑体" w:eastAsia="黑体" w:cs="黑体"/>
          <w:kern w:val="0"/>
          <w:sz w:val="32"/>
          <w:szCs w:val="32"/>
          <w:highlight w:val="none"/>
        </w:rPr>
        <w:t>三、考核指标</w:t>
      </w:r>
    </w:p>
    <w:p>
      <w:pPr>
        <w:widowControl/>
        <w:ind w:firstLine="640" w:firstLineChars="200"/>
        <w:jc w:val="both"/>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lang w:val="en-US" w:eastAsia="zh-CN"/>
        </w:rPr>
        <w:t>1.辅助运输系统中扩展出架空乘人装置钢丝绳磁性无损探伤软件，实现钢丝绳的自动监测、故障管理、精准维护、自诊断应用、远程诊断</w:t>
      </w:r>
      <w:r>
        <w:rPr>
          <w:rFonts w:hint="eastAsia" w:ascii="仿宋" w:hAnsi="仿宋" w:eastAsia="仿宋" w:cs="仿宋"/>
          <w:kern w:val="0"/>
          <w:sz w:val="32"/>
          <w:szCs w:val="32"/>
          <w:highlight w:val="none"/>
          <w:lang w:val="en-US" w:eastAsia="zh-CN"/>
        </w:rPr>
        <w:t>。钢丝绳自动检测功能代替人员检查，每天可以节约人员成本2人/次，每年节约人工成本21.9万元。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kern w:val="0"/>
          <w:sz w:val="32"/>
          <w:szCs w:val="32"/>
          <w:lang w:val="en-US" w:eastAsia="zh-CN"/>
        </w:rPr>
      </w:pPr>
      <w:r>
        <w:rPr>
          <w:rFonts w:hint="eastAsia" w:ascii="仿宋" w:hAnsi="仿宋" w:eastAsia="仿宋" w:cs="仿宋"/>
          <w:kern w:val="0"/>
          <w:sz w:val="32"/>
          <w:szCs w:val="32"/>
          <w:highlight w:val="none"/>
          <w:lang w:val="en-US" w:eastAsia="zh-CN"/>
        </w:rPr>
        <w:t>2.主煤流永磁变频直驱功能的应用，省略减速机、液粘软启动器，设备传动结构简单，机械传动效率提升约30%。减少日常维护、配件、油脂等投入，降低运行成本，综合节能约50%，每年可节约72.04万元的维修费。扩展主煤流三部带式输送机的安全监控系统软件和变频调速软件，实现视频监控系统、异物</w:t>
      </w:r>
      <w:r>
        <w:rPr>
          <w:rFonts w:hint="eastAsia" w:ascii="仿宋" w:hAnsi="仿宋" w:eastAsia="仿宋" w:cs="仿宋"/>
          <w:kern w:val="0"/>
          <w:sz w:val="32"/>
          <w:szCs w:val="32"/>
          <w:lang w:val="en-US" w:eastAsia="zh-CN"/>
        </w:rPr>
        <w:t>智能画面显示系统，主煤流三部带式输送机智慧煤流调速、安全智能语音报警软件。</w:t>
      </w:r>
    </w:p>
    <w:p>
      <w:pPr>
        <w:pStyle w:val="9"/>
        <w:ind w:left="0" w:leftChars="0" w:firstLine="640" w:firstLineChars="200"/>
        <w:rPr>
          <w:rFonts w:hint="default"/>
          <w:lang w:val="en-US" w:eastAsia="zh-CN"/>
        </w:rPr>
      </w:pPr>
      <w:r>
        <w:rPr>
          <w:rFonts w:hint="eastAsia" w:ascii="仿宋" w:hAnsi="仿宋" w:eastAsia="仿宋" w:cs="仿宋"/>
          <w:kern w:val="0"/>
          <w:sz w:val="32"/>
          <w:szCs w:val="32"/>
          <w:lang w:val="en-US" w:eastAsia="zh-CN"/>
        </w:rPr>
        <w:t>3.通过智能化设备的投入，增加智能化管控系统功能，将运输系统运行的各项信息进行融合，并作为一个子系统接入矿井综合自动化平台。</w:t>
      </w:r>
    </w:p>
    <w:p>
      <w:pPr>
        <w:widowControl/>
        <w:ind w:firstLine="640" w:firstLineChars="2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4.授权实用新型专利不少于2项或发明专利1项。</w:t>
      </w:r>
    </w:p>
    <w:p>
      <w:pPr>
        <w:widowControl/>
        <w:ind w:firstLine="640" w:firstLineChars="2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5.发表论文不少于2篇（其中核心期刊论文不少于1篇）。</w:t>
      </w:r>
    </w:p>
    <w:p>
      <w:pPr>
        <w:widowControl/>
        <w:ind w:firstLine="640" w:firstLineChars="2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6.研究成果经第三方鉴定，达到国际先进水平。</w:t>
      </w:r>
    </w:p>
    <w:p>
      <w:pPr>
        <w:widowControl/>
        <w:ind w:firstLine="640" w:firstLineChars="200"/>
        <w:jc w:val="both"/>
        <w:rPr>
          <w:rFonts w:hint="eastAsia" w:ascii="黑体" w:hAnsi="黑体" w:eastAsia="黑体" w:cs="黑体"/>
          <w:kern w:val="0"/>
          <w:sz w:val="32"/>
          <w:szCs w:val="32"/>
          <w:lang w:val="en-US" w:eastAsia="zh-CN"/>
        </w:rPr>
      </w:pPr>
      <w:r>
        <w:rPr>
          <w:rFonts w:hint="eastAsia" w:ascii="黑体" w:hAnsi="黑体" w:eastAsia="黑体" w:cs="黑体"/>
          <w:kern w:val="0"/>
          <w:sz w:val="32"/>
          <w:szCs w:val="32"/>
          <w:lang w:val="en-US" w:eastAsia="zh-CN"/>
        </w:rPr>
        <w:t>四、实施期限</w:t>
      </w:r>
    </w:p>
    <w:p>
      <w:pPr>
        <w:widowControl/>
        <w:ind w:firstLine="640" w:firstLineChars="200"/>
        <w:jc w:val="both"/>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实施期限为不超过一年。</w:t>
      </w:r>
    </w:p>
    <w:p>
      <w:pPr>
        <w:widowControl/>
        <w:ind w:firstLine="640" w:firstLineChars="200"/>
        <w:jc w:val="both"/>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五</w:t>
      </w:r>
      <w:r>
        <w:rPr>
          <w:rFonts w:hint="eastAsia" w:ascii="黑体" w:hAnsi="黑体" w:eastAsia="黑体" w:cs="黑体"/>
          <w:kern w:val="0"/>
          <w:sz w:val="32"/>
          <w:szCs w:val="32"/>
        </w:rPr>
        <w:t>、榜单限额</w:t>
      </w:r>
    </w:p>
    <w:p>
      <w:pPr>
        <w:widowControl/>
        <w:ind w:firstLine="640" w:firstLineChars="200"/>
        <w:jc w:val="both"/>
        <w:rPr>
          <w:rFonts w:hint="default"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委外研究费用不超过35万元。</w:t>
      </w:r>
    </w:p>
    <w:p>
      <w:pPr>
        <w:widowControl/>
        <w:ind w:firstLine="640" w:firstLineChars="200"/>
        <w:jc w:val="both"/>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六</w:t>
      </w:r>
      <w:r>
        <w:rPr>
          <w:rFonts w:hint="eastAsia" w:ascii="黑体" w:hAnsi="黑体" w:eastAsia="黑体" w:cs="黑体"/>
          <w:kern w:val="0"/>
          <w:sz w:val="32"/>
          <w:szCs w:val="32"/>
        </w:rPr>
        <w:t>、揭榜方条件</w:t>
      </w:r>
    </w:p>
    <w:p>
      <w:pPr>
        <w:widowControl/>
        <w:ind w:firstLine="640" w:firstLineChars="200"/>
        <w:jc w:val="both"/>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val="en-US" w:eastAsia="zh-CN"/>
        </w:rPr>
        <w:t>1.</w:t>
      </w:r>
      <w:r>
        <w:rPr>
          <w:rFonts w:hint="eastAsia" w:ascii="仿宋" w:hAnsi="仿宋" w:eastAsia="仿宋" w:cs="仿宋"/>
          <w:kern w:val="0"/>
          <w:sz w:val="32"/>
          <w:szCs w:val="32"/>
          <w:highlight w:val="none"/>
        </w:rPr>
        <w:t>揭榜方所在单位具备良好的工作基础、实验条件和科研环境，有较强的研发实力、科研条件和稳定的人员队伍等，有能力完成张榜任务；具有良好的科研道德和社会诚信，近3年内无不良信用记录；一般近五年内应承担过国家和省、行业重点科技攻关项目1项，或取得过国家和省部级、行业级科学技术奖1项，并具有一定的持续发展能力</w:t>
      </w:r>
      <w:r>
        <w:rPr>
          <w:rFonts w:hint="eastAsia" w:ascii="仿宋" w:hAnsi="仿宋" w:eastAsia="仿宋" w:cs="仿宋"/>
          <w:kern w:val="0"/>
          <w:sz w:val="32"/>
          <w:szCs w:val="32"/>
          <w:lang w:val="en-US" w:eastAsia="zh-CN"/>
        </w:rPr>
        <w:t>。</w:t>
      </w:r>
    </w:p>
    <w:p>
      <w:pPr>
        <w:widowControl/>
        <w:ind w:firstLine="640" w:firstLineChars="200"/>
        <w:jc w:val="both"/>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val="en-US" w:eastAsia="zh-CN"/>
        </w:rPr>
        <w:t>2.</w:t>
      </w:r>
      <w:r>
        <w:rPr>
          <w:rFonts w:hint="eastAsia" w:ascii="仿宋" w:hAnsi="仿宋" w:eastAsia="仿宋" w:cs="仿宋"/>
          <w:kern w:val="0"/>
          <w:sz w:val="32"/>
          <w:szCs w:val="32"/>
          <w:highlight w:val="none"/>
        </w:rPr>
        <w:t>揭榜方挂帅者实行“谁有能力谁揭榜挂帅”的原则。挂帅者作为研发团队带头人，应在相关学科技术领域中已取得较为突出的创新成果，有良好的科学道德和严谨的学风，能对张榜项目需求给出攻克关键核心技术的可行方案，掌握自主知识产权，对本学科领域的发展具有重要推动作用，有时间和精力从事揭榜项目研究工作</w:t>
      </w:r>
      <w:r>
        <w:rPr>
          <w:rFonts w:hint="eastAsia" w:ascii="仿宋" w:hAnsi="仿宋" w:eastAsia="仿宋" w:cs="仿宋"/>
          <w:kern w:val="0"/>
          <w:sz w:val="32"/>
          <w:szCs w:val="32"/>
          <w:lang w:val="en-US" w:eastAsia="zh-CN"/>
        </w:rPr>
        <w:t>。</w:t>
      </w:r>
    </w:p>
    <w:p>
      <w:pPr>
        <w:widowControl/>
        <w:ind w:firstLine="640" w:firstLineChars="200"/>
        <w:jc w:val="both"/>
        <w:rPr>
          <w:rFonts w:hint="eastAsia" w:ascii="仿宋" w:hAnsi="仿宋" w:eastAsia="仿宋" w:cs="仿宋"/>
          <w:kern w:val="0"/>
          <w:sz w:val="32"/>
          <w:szCs w:val="32"/>
          <w:highlight w:val="none"/>
          <w:lang w:eastAsia="zh-CN"/>
        </w:rPr>
      </w:pPr>
      <w:r>
        <w:rPr>
          <w:rFonts w:hint="eastAsia" w:ascii="仿宋" w:hAnsi="仿宋" w:eastAsia="仿宋" w:cs="仿宋"/>
          <w:kern w:val="0"/>
          <w:sz w:val="32"/>
          <w:szCs w:val="32"/>
          <w:highlight w:val="none"/>
          <w:lang w:val="en-US" w:eastAsia="zh-CN"/>
        </w:rPr>
        <w:t>3.</w:t>
      </w:r>
      <w:r>
        <w:rPr>
          <w:rFonts w:hint="eastAsia" w:ascii="仿宋" w:hAnsi="仿宋" w:eastAsia="仿宋" w:cs="仿宋"/>
          <w:kern w:val="0"/>
          <w:sz w:val="32"/>
          <w:szCs w:val="32"/>
          <w:highlight w:val="none"/>
        </w:rPr>
        <w:t>揭榜方参与本项目的科研团队除挂帅者之外一般应有至少1名副高级职称或博士学位的核心人员（特别优秀创新人才不受限制），专业结构合理。团队研究方向和主要研究课题符合集团公司发展领域和优势产业发展的要求，已取得突出成绩或具有明显的创新潜力</w:t>
      </w:r>
      <w:r>
        <w:rPr>
          <w:rFonts w:hint="eastAsia" w:ascii="仿宋" w:hAnsi="仿宋" w:eastAsia="仿宋" w:cs="仿宋"/>
          <w:kern w:val="0"/>
          <w:sz w:val="32"/>
          <w:szCs w:val="32"/>
          <w:lang w:val="en-US" w:eastAsia="zh-CN"/>
        </w:rPr>
        <w:t>。</w:t>
      </w:r>
    </w:p>
    <w:p>
      <w:pPr>
        <w:widowControl/>
        <w:ind w:firstLine="640" w:firstLineChars="200"/>
        <w:jc w:val="both"/>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4.挂帅者应保证在项目实施期间的工作时间和工作量。</w:t>
      </w: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七</w:t>
      </w:r>
      <w:r>
        <w:rPr>
          <w:rFonts w:hint="eastAsia" w:ascii="黑体" w:hAnsi="黑体" w:eastAsia="黑体" w:cs="黑体"/>
          <w:kern w:val="0"/>
          <w:sz w:val="32"/>
          <w:szCs w:val="32"/>
        </w:rPr>
        <w:t>、知识产权归属及利益分配</w:t>
      </w:r>
    </w:p>
    <w:p>
      <w:pPr>
        <w:widowControl/>
        <w:ind w:firstLine="640" w:firstLineChars="200"/>
        <w:jc w:val="both"/>
        <w:rPr>
          <w:rFonts w:hint="eastAsia" w:ascii="仿宋" w:hAnsi="仿宋" w:eastAsia="仿宋" w:cs="仿宋"/>
          <w:kern w:val="0"/>
          <w:sz w:val="32"/>
          <w:szCs w:val="32"/>
        </w:rPr>
      </w:pPr>
      <w:r>
        <w:rPr>
          <w:rFonts w:hint="eastAsia" w:ascii="仿宋" w:hAnsi="仿宋" w:eastAsia="仿宋" w:cs="仿宋"/>
          <w:kern w:val="0"/>
          <w:sz w:val="32"/>
          <w:szCs w:val="32"/>
        </w:rPr>
        <w:t>1.专利或软著：第一完成单位为</w:t>
      </w:r>
      <w:r>
        <w:rPr>
          <w:rFonts w:hint="eastAsia" w:ascii="仿宋" w:hAnsi="仿宋" w:eastAsia="仿宋" w:cs="仿宋"/>
          <w:kern w:val="0"/>
          <w:sz w:val="32"/>
          <w:szCs w:val="32"/>
          <w:lang w:val="en-US" w:eastAsia="zh-CN"/>
        </w:rPr>
        <w:t>焦作煤业（集团）新乡能源有限公司</w:t>
      </w:r>
      <w:r>
        <w:rPr>
          <w:rFonts w:hint="eastAsia" w:ascii="仿宋" w:hAnsi="仿宋" w:eastAsia="仿宋" w:cs="仿宋"/>
          <w:kern w:val="0"/>
          <w:sz w:val="32"/>
          <w:szCs w:val="32"/>
        </w:rPr>
        <w:t>；</w:t>
      </w:r>
    </w:p>
    <w:p>
      <w:pPr>
        <w:widowControl/>
        <w:ind w:firstLine="640" w:firstLineChars="200"/>
        <w:jc w:val="both"/>
        <w:rPr>
          <w:rFonts w:hint="eastAsia" w:ascii="仿宋" w:hAnsi="仿宋" w:eastAsia="仿宋" w:cs="仿宋"/>
          <w:kern w:val="0"/>
          <w:sz w:val="32"/>
          <w:szCs w:val="32"/>
        </w:rPr>
      </w:pPr>
      <w:r>
        <w:rPr>
          <w:rFonts w:hint="eastAsia" w:ascii="仿宋" w:hAnsi="仿宋" w:eastAsia="仿宋" w:cs="仿宋"/>
          <w:kern w:val="0"/>
          <w:sz w:val="32"/>
          <w:szCs w:val="32"/>
        </w:rPr>
        <w:t>2.论文：第一作者为</w:t>
      </w:r>
      <w:r>
        <w:rPr>
          <w:rFonts w:hint="eastAsia" w:ascii="仿宋" w:hAnsi="仿宋" w:eastAsia="仿宋" w:cs="仿宋"/>
          <w:kern w:val="0"/>
          <w:sz w:val="32"/>
          <w:szCs w:val="32"/>
          <w:lang w:val="en-US" w:eastAsia="zh-CN"/>
        </w:rPr>
        <w:t>焦作煤业（集团）新乡能源有限公司</w:t>
      </w:r>
      <w:r>
        <w:rPr>
          <w:rFonts w:hint="eastAsia" w:ascii="仿宋" w:hAnsi="仿宋" w:eastAsia="仿宋" w:cs="仿宋"/>
          <w:kern w:val="0"/>
          <w:sz w:val="32"/>
          <w:szCs w:val="32"/>
        </w:rPr>
        <w:t>相关人员；</w:t>
      </w:r>
    </w:p>
    <w:p>
      <w:pPr>
        <w:widowControl/>
        <w:ind w:firstLine="640" w:firstLineChars="200"/>
        <w:jc w:val="both"/>
        <w:rPr>
          <w:rFonts w:hint="eastAsia" w:ascii="仿宋" w:hAnsi="仿宋" w:eastAsia="仿宋" w:cs="仿宋"/>
          <w:kern w:val="0"/>
          <w:sz w:val="32"/>
          <w:szCs w:val="32"/>
        </w:rPr>
      </w:pPr>
      <w:r>
        <w:rPr>
          <w:rFonts w:hint="eastAsia" w:ascii="仿宋" w:hAnsi="仿宋" w:eastAsia="仿宋" w:cs="仿宋"/>
          <w:kern w:val="0"/>
          <w:sz w:val="32"/>
          <w:szCs w:val="32"/>
        </w:rPr>
        <w:t>3.科技成果：鉴定成果的第一完成单位为</w:t>
      </w:r>
      <w:r>
        <w:rPr>
          <w:rFonts w:hint="eastAsia" w:ascii="仿宋" w:hAnsi="仿宋" w:eastAsia="仿宋" w:cs="仿宋"/>
          <w:kern w:val="0"/>
          <w:sz w:val="32"/>
          <w:szCs w:val="32"/>
          <w:lang w:val="en-US" w:eastAsia="zh-CN"/>
        </w:rPr>
        <w:t>焦作煤业（集团）新乡能源有限公司</w:t>
      </w:r>
      <w:r>
        <w:rPr>
          <w:rFonts w:hint="eastAsia" w:ascii="仿宋" w:hAnsi="仿宋" w:eastAsia="仿宋" w:cs="仿宋"/>
          <w:kern w:val="0"/>
          <w:sz w:val="32"/>
          <w:szCs w:val="32"/>
        </w:rPr>
        <w:t>，完成人员名次可协商确定。</w:t>
      </w:r>
    </w:p>
    <w:p>
      <w:pPr>
        <w:widowControl/>
        <w:ind w:firstLine="640" w:firstLineChars="200"/>
        <w:jc w:val="both"/>
        <w:rPr>
          <w:rFonts w:hint="eastAsia" w:ascii="仿宋" w:hAnsi="仿宋" w:eastAsia="仿宋" w:cs="仿宋"/>
          <w:kern w:val="0"/>
          <w:sz w:val="32"/>
          <w:szCs w:val="32"/>
        </w:rPr>
      </w:pPr>
      <w:r>
        <w:rPr>
          <w:rFonts w:hint="eastAsia" w:ascii="仿宋" w:hAnsi="仿宋" w:eastAsia="仿宋" w:cs="仿宋"/>
          <w:kern w:val="0"/>
          <w:sz w:val="32"/>
          <w:szCs w:val="32"/>
        </w:rPr>
        <w:t>4.本项目产生利益均归属</w:t>
      </w:r>
      <w:r>
        <w:rPr>
          <w:rFonts w:hint="eastAsia" w:ascii="仿宋" w:hAnsi="仿宋" w:eastAsia="仿宋" w:cs="仿宋"/>
          <w:kern w:val="0"/>
          <w:sz w:val="32"/>
          <w:szCs w:val="32"/>
          <w:lang w:val="en-US" w:eastAsia="zh-CN"/>
        </w:rPr>
        <w:t>焦作煤业（集团）新乡能源有限公司</w:t>
      </w:r>
      <w:r>
        <w:rPr>
          <w:rFonts w:hint="eastAsia" w:ascii="仿宋" w:hAnsi="仿宋" w:eastAsia="仿宋" w:cs="仿宋"/>
          <w:kern w:val="0"/>
          <w:sz w:val="32"/>
          <w:szCs w:val="32"/>
        </w:rPr>
        <w:t>。</w:t>
      </w: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八</w:t>
      </w:r>
      <w:r>
        <w:rPr>
          <w:rFonts w:hint="eastAsia" w:ascii="黑体" w:hAnsi="黑体" w:eastAsia="黑体" w:cs="黑体"/>
          <w:kern w:val="0"/>
          <w:sz w:val="32"/>
          <w:szCs w:val="32"/>
        </w:rPr>
        <w:t>、预期成果</w:t>
      </w:r>
    </w:p>
    <w:p>
      <w:pPr>
        <w:widowControl/>
        <w:ind w:firstLine="640" w:firstLineChars="200"/>
        <w:jc w:val="left"/>
        <w:rPr>
          <w:rFonts w:hint="eastAsia"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1.通过智能化设备的投入，完善智能化管控系统功能，将运输系统运行的各项信息进行融合，并作为一个子系统接入矿井综合自动化平台。实现辅助运输系统智能监控，提高通讯功能，实现数据共享交互访问和控制，实现运输系统智能化提升和高效可靠运行，提高安全管理水平和管理效率，提高矿井智能化水平。</w:t>
      </w:r>
    </w:p>
    <w:p>
      <w:pPr>
        <w:widowControl/>
        <w:ind w:firstLine="640" w:firstLineChars="200"/>
        <w:jc w:val="both"/>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2.辅助运输系统中扩展出架空乘人装置钢丝绳磁性无损探伤软件，实现钢丝绳的自动监测、故障管理、精准维护、自诊断应用、远程诊断。</w:t>
      </w:r>
    </w:p>
    <w:p>
      <w:pPr>
        <w:widowControl/>
        <w:ind w:firstLine="640" w:firstLineChars="200"/>
        <w:jc w:val="both"/>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3.主煤流扩展安全监控系统软件和变频调速软件，实现视频监控系统、异物智能画面显示系统、智慧煤流调速、安全智能语音报警软件。</w:t>
      </w:r>
    </w:p>
    <w:p>
      <w:pPr>
        <w:widowControl/>
        <w:ind w:firstLine="640" w:firstLineChars="200"/>
        <w:jc w:val="left"/>
        <w:rPr>
          <w:rFonts w:hint="default" w:ascii="仿宋" w:hAnsi="仿宋" w:eastAsia="仿宋" w:cs="仿宋"/>
          <w:kern w:val="0"/>
          <w:sz w:val="32"/>
          <w:szCs w:val="32"/>
          <w:highlight w:val="none"/>
          <w:lang w:val="en-US" w:eastAsia="zh-CN"/>
        </w:rPr>
      </w:pPr>
      <w:r>
        <w:rPr>
          <w:rFonts w:hint="eastAsia" w:ascii="仿宋" w:hAnsi="仿宋" w:eastAsia="仿宋" w:cs="仿宋"/>
          <w:kern w:val="0"/>
          <w:sz w:val="32"/>
          <w:szCs w:val="32"/>
          <w:highlight w:val="none"/>
          <w:lang w:val="en-US" w:eastAsia="zh-CN"/>
        </w:rPr>
        <w:t>4.运输系统智能化关键技术及装备研究与应用实现</w:t>
      </w:r>
      <w:r>
        <w:rPr>
          <w:rFonts w:hint="eastAsia" w:ascii="仿宋" w:hAnsi="仿宋" w:eastAsia="仿宋" w:cs="仿宋"/>
          <w:kern w:val="0"/>
          <w:sz w:val="32"/>
          <w:szCs w:val="32"/>
          <w:lang w:val="en-US" w:eastAsia="zh-CN"/>
        </w:rPr>
        <w:t>智能化授权实用新型专利不少于2项或发明专利1项，发表论文不少于2篇（其中核心期刊论文不少于1篇）。</w:t>
      </w:r>
    </w:p>
    <w:p>
      <w:pPr>
        <w:widowControl/>
        <w:ind w:firstLine="640" w:firstLineChars="200"/>
        <w:jc w:val="left"/>
        <w:rPr>
          <w:rFonts w:hint="eastAsia" w:ascii="黑体" w:hAnsi="黑体" w:eastAsia="黑体" w:cs="黑体"/>
          <w:kern w:val="0"/>
          <w:sz w:val="32"/>
          <w:szCs w:val="32"/>
        </w:rPr>
      </w:pPr>
      <w:r>
        <w:rPr>
          <w:rFonts w:hint="eastAsia" w:ascii="黑体" w:hAnsi="黑体" w:eastAsia="黑体" w:cs="黑体"/>
          <w:kern w:val="0"/>
          <w:sz w:val="32"/>
          <w:szCs w:val="32"/>
          <w:lang w:val="en-US" w:eastAsia="zh-CN"/>
        </w:rPr>
        <w:t>九</w:t>
      </w:r>
      <w:r>
        <w:rPr>
          <w:rFonts w:hint="eastAsia" w:ascii="黑体" w:hAnsi="黑体" w:eastAsia="黑体" w:cs="黑体"/>
          <w:kern w:val="0"/>
          <w:sz w:val="32"/>
          <w:szCs w:val="32"/>
        </w:rPr>
        <w:t>、应用场景</w:t>
      </w:r>
    </w:p>
    <w:p>
      <w:pPr>
        <w:widowControl/>
        <w:ind w:firstLine="640" w:firstLineChars="200"/>
        <w:jc w:val="left"/>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煤矿主煤流和辅助运输自动化系统。</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
    <w:altName w:val="Arial"/>
    <w:panose1 w:val="00000000000000000000"/>
    <w:charset w:val="00"/>
    <w:family w:val="swiss"/>
    <w:pitch w:val="default"/>
    <w:sig w:usb0="00000000" w:usb1="00000000" w:usb2="00000000" w:usb3="00000000" w:csb0="0000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5ODRkODY3ZDFhYjE5NzJhYjU2YTFjNmY1NGI0NmUifQ=="/>
    <w:docVar w:name="KSO_WPS_MARK_KEY" w:val="8e4da6fd-6722-4d70-b22a-863a6b3b4fd5"/>
  </w:docVars>
  <w:rsids>
    <w:rsidRoot w:val="614D5D3C"/>
    <w:rsid w:val="014C7C87"/>
    <w:rsid w:val="02BC0ABD"/>
    <w:rsid w:val="02E84AFC"/>
    <w:rsid w:val="0BD14F70"/>
    <w:rsid w:val="0C3D341B"/>
    <w:rsid w:val="0FF34448"/>
    <w:rsid w:val="110E3E23"/>
    <w:rsid w:val="144E09DA"/>
    <w:rsid w:val="194E5EC1"/>
    <w:rsid w:val="19BE1F97"/>
    <w:rsid w:val="1D630B8A"/>
    <w:rsid w:val="25667B68"/>
    <w:rsid w:val="2C444745"/>
    <w:rsid w:val="2DF53F49"/>
    <w:rsid w:val="2E723EB6"/>
    <w:rsid w:val="30CC2F28"/>
    <w:rsid w:val="30D808B2"/>
    <w:rsid w:val="319C0B7F"/>
    <w:rsid w:val="34C04B85"/>
    <w:rsid w:val="35B9680C"/>
    <w:rsid w:val="3AD208A3"/>
    <w:rsid w:val="3BEA0A6E"/>
    <w:rsid w:val="3DDE23D4"/>
    <w:rsid w:val="44621CC2"/>
    <w:rsid w:val="44FC76F4"/>
    <w:rsid w:val="4BD86C2A"/>
    <w:rsid w:val="4E402B66"/>
    <w:rsid w:val="4F6F4D85"/>
    <w:rsid w:val="4F7C3A92"/>
    <w:rsid w:val="534E7BF4"/>
    <w:rsid w:val="55077CA7"/>
    <w:rsid w:val="5B631627"/>
    <w:rsid w:val="5DBB3926"/>
    <w:rsid w:val="5F972FB4"/>
    <w:rsid w:val="614D5D3C"/>
    <w:rsid w:val="629B43B7"/>
    <w:rsid w:val="63934E9B"/>
    <w:rsid w:val="64257731"/>
    <w:rsid w:val="644470C7"/>
    <w:rsid w:val="64D67929"/>
    <w:rsid w:val="676577C0"/>
    <w:rsid w:val="681744E0"/>
    <w:rsid w:val="68AA7C5D"/>
    <w:rsid w:val="709C0D47"/>
    <w:rsid w:val="714B2901"/>
    <w:rsid w:val="71600CA6"/>
    <w:rsid w:val="79C65CB0"/>
    <w:rsid w:val="7BD9133A"/>
    <w:rsid w:val="7C8002A2"/>
    <w:rsid w:val="7D71506D"/>
    <w:rsid w:val="7F8848D0"/>
    <w:rsid w:val="7FF74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ind w:firstLine="200" w:firstLineChars="200"/>
      <w:outlineLvl w:val="1"/>
    </w:pPr>
    <w:rPr>
      <w:rFonts w:ascii="仿宋" w:hAnsi="仿宋" w:eastAsia="仿宋"/>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next w:val="1"/>
    <w:unhideWhenUsed/>
    <w:qFormat/>
    <w:uiPriority w:val="99"/>
    <w:pPr>
      <w:ind w:firstLine="420" w:firstLineChars="200"/>
    </w:pPr>
  </w:style>
  <w:style w:type="paragraph" w:styleId="4">
    <w:name w:val="Body Text 3"/>
    <w:basedOn w:val="1"/>
    <w:qFormat/>
    <w:uiPriority w:val="0"/>
    <w:pPr>
      <w:spacing w:line="440" w:lineRule="exact"/>
    </w:pPr>
    <w:rPr>
      <w:b/>
      <w:sz w:val="28"/>
      <w:szCs w:val="20"/>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9">
    <w:name w:val="UserStyle_0"/>
    <w:basedOn w:val="10"/>
    <w:next w:val="10"/>
    <w:qFormat/>
    <w:uiPriority w:val="0"/>
    <w:pPr>
      <w:textAlignment w:val="baseline"/>
    </w:pPr>
  </w:style>
  <w:style w:type="paragraph" w:customStyle="1" w:styleId="10">
    <w:name w:val="UserStyle_1"/>
    <w:basedOn w:val="11"/>
    <w:next w:val="18"/>
    <w:qFormat/>
    <w:uiPriority w:val="0"/>
    <w:pPr>
      <w:spacing w:after="120"/>
      <w:ind w:left="420" w:leftChars="200"/>
    </w:pPr>
  </w:style>
  <w:style w:type="paragraph" w:customStyle="1" w:styleId="11">
    <w:name w:val="正文 New New New New New New New New New New New New New New New"/>
    <w:next w:val="1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Body Text First Indent 22"/>
    <w:basedOn w:val="13"/>
    <w:next w:val="15"/>
    <w:qFormat/>
    <w:uiPriority w:val="0"/>
    <w:pPr>
      <w:ind w:firstLine="420" w:firstLineChars="200"/>
    </w:pPr>
  </w:style>
  <w:style w:type="paragraph" w:customStyle="1" w:styleId="13">
    <w:name w:val="Body Text Indent2"/>
    <w:basedOn w:val="1"/>
    <w:next w:val="14"/>
    <w:qFormat/>
    <w:uiPriority w:val="0"/>
    <w:pPr>
      <w:spacing w:after="120"/>
      <w:ind w:left="420" w:leftChars="200"/>
    </w:pPr>
  </w:style>
  <w:style w:type="paragraph" w:customStyle="1" w:styleId="14">
    <w:name w:val="index 72"/>
    <w:basedOn w:val="1"/>
    <w:next w:val="11"/>
    <w:qFormat/>
    <w:uiPriority w:val="0"/>
    <w:pPr>
      <w:ind w:left="2520"/>
    </w:pPr>
  </w:style>
  <w:style w:type="paragraph" w:customStyle="1" w:styleId="15">
    <w:name w:val="正文首行缩进2"/>
    <w:basedOn w:val="16"/>
    <w:next w:val="12"/>
    <w:qFormat/>
    <w:uiPriority w:val="0"/>
    <w:pPr>
      <w:ind w:firstLine="420" w:firstLineChars="100"/>
    </w:pPr>
  </w:style>
  <w:style w:type="paragraph" w:customStyle="1" w:styleId="16">
    <w:name w:val="正文文本 New New"/>
    <w:basedOn w:val="11"/>
    <w:next w:val="17"/>
    <w:qFormat/>
    <w:uiPriority w:val="0"/>
    <w:pPr>
      <w:spacing w:after="120"/>
    </w:pPr>
  </w:style>
  <w:style w:type="paragraph" w:customStyle="1" w:styleId="17">
    <w:name w:val="正文文本 21"/>
    <w:basedOn w:val="11"/>
    <w:qFormat/>
    <w:uiPriority w:val="0"/>
    <w:pPr>
      <w:spacing w:after="120" w:line="480" w:lineRule="auto"/>
    </w:pPr>
    <w:rPr>
      <w:rFonts w:ascii="Arial" w:hAnsi="Arial"/>
    </w:rPr>
  </w:style>
  <w:style w:type="paragraph" w:customStyle="1" w:styleId="18">
    <w:name w:val="UserStyle_2"/>
    <w:basedOn w:val="1"/>
    <w:next w:val="1"/>
    <w:qFormat/>
    <w:uiPriority w:val="0"/>
    <w:pPr>
      <w:ind w:left="1200" w:leftChars="1200"/>
      <w:textAlignment w:val="baseline"/>
    </w:pPr>
  </w:style>
  <w:style w:type="paragraph" w:customStyle="1" w:styleId="19">
    <w:name w:val="表格"/>
    <w:qFormat/>
    <w:uiPriority w:val="99"/>
    <w:pPr>
      <w:widowControl w:val="0"/>
      <w:adjustRightInd w:val="0"/>
      <w:snapToGrid w:val="0"/>
      <w:ind w:left="2" w:leftChars="1" w:right="113"/>
      <w:jc w:val="both"/>
    </w:pPr>
    <w:rPr>
      <w:rFonts w:ascii="Ari" w:hAnsi="Ari"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1667</Words>
  <Characters>1715</Characters>
  <Lines>0</Lines>
  <Paragraphs>0</Paragraphs>
  <TotalTime>0</TotalTime>
  <ScaleCrop>false</ScaleCrop>
  <LinksUpToDate>false</LinksUpToDate>
  <CharactersWithSpaces>1715</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2024-04-02T02:12:00Z</dcterms:created>
  <dc:creator>贵宏伟</dc:creator>
  <cp:lastModifiedBy>郝娅小A</cp:lastModifiedBy>
  <cp:lastPrinted>2024-04-04T06:37:00Z</cp:lastPrinted>
  <dcterms:modified xsi:type="dcterms:W3CDTF">2024-06-04T00:36:39Z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0D8FDF99123B4BD7BA5A35AA3A3D4994_13</vt:lpwstr>
  </property>
</Properties>
</file>